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98" w:rsidRDefault="00306564" w:rsidP="0090280D">
      <w:pPr>
        <w:pStyle w:val="3"/>
        <w:spacing w:after="0"/>
        <w:rPr>
          <w:rFonts w:eastAsia="Times New Roman"/>
          <w:color w:val="000000"/>
          <w:sz w:val="24"/>
          <w:szCs w:val="24"/>
        </w:rPr>
      </w:pPr>
      <w:r w:rsidRPr="0090280D">
        <w:rPr>
          <w:rFonts w:eastAsia="Times New Roman"/>
          <w:color w:val="000000"/>
          <w:sz w:val="24"/>
          <w:szCs w:val="24"/>
        </w:rPr>
        <w:t>Річна інформація емітента цінних паперів</w:t>
      </w:r>
      <w:r w:rsidRPr="0090280D">
        <w:rPr>
          <w:rFonts w:eastAsia="Times New Roman"/>
          <w:color w:val="000000"/>
          <w:sz w:val="24"/>
          <w:szCs w:val="24"/>
        </w:rPr>
        <w:br/>
      </w:r>
      <w:r w:rsidR="0090280D" w:rsidRPr="0090280D">
        <w:rPr>
          <w:rFonts w:eastAsia="Times New Roman"/>
          <w:color w:val="000000"/>
          <w:sz w:val="24"/>
          <w:szCs w:val="24"/>
        </w:rPr>
        <w:t xml:space="preserve"> </w:t>
      </w:r>
      <w:r w:rsidR="0090280D" w:rsidRPr="0090280D">
        <w:rPr>
          <w:rFonts w:eastAsia="Times New Roman"/>
          <w:color w:val="000000"/>
          <w:sz w:val="24"/>
          <w:szCs w:val="24"/>
        </w:rPr>
        <w:t xml:space="preserve">Приватне </w:t>
      </w:r>
      <w:r w:rsidR="0090280D" w:rsidRPr="0090280D">
        <w:rPr>
          <w:rFonts w:eastAsia="Times New Roman"/>
          <w:color w:val="000000"/>
          <w:sz w:val="24"/>
          <w:szCs w:val="24"/>
        </w:rPr>
        <w:t>акціонерне</w:t>
      </w:r>
      <w:r w:rsidR="0090280D" w:rsidRPr="0090280D">
        <w:rPr>
          <w:rFonts w:eastAsia="Times New Roman"/>
          <w:color w:val="000000"/>
          <w:sz w:val="24"/>
          <w:szCs w:val="24"/>
        </w:rPr>
        <w:t xml:space="preserve"> товариство Страхова </w:t>
      </w:r>
      <w:r w:rsidR="0090280D" w:rsidRPr="0090280D">
        <w:rPr>
          <w:rFonts w:eastAsia="Times New Roman"/>
          <w:color w:val="000000"/>
          <w:sz w:val="24"/>
          <w:szCs w:val="24"/>
        </w:rPr>
        <w:t>компанія</w:t>
      </w:r>
      <w:r w:rsidR="0090280D" w:rsidRPr="0090280D">
        <w:rPr>
          <w:rFonts w:eastAsia="Times New Roman"/>
          <w:color w:val="000000"/>
          <w:sz w:val="24"/>
          <w:szCs w:val="24"/>
        </w:rPr>
        <w:t xml:space="preserve"> «IНТЕР-ПОЛIС»</w:t>
      </w:r>
    </w:p>
    <w:p w:rsidR="0090280D" w:rsidRPr="0090280D" w:rsidRDefault="0090280D" w:rsidP="0090280D">
      <w:pPr>
        <w:pStyle w:val="3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2017 рік</w:t>
      </w:r>
    </w:p>
    <w:p w:rsidR="00B21D98" w:rsidRPr="0090280D" w:rsidRDefault="00306564" w:rsidP="0090280D">
      <w:pPr>
        <w:pStyle w:val="3"/>
        <w:spacing w:after="0"/>
        <w:rPr>
          <w:rFonts w:eastAsia="Times New Roman"/>
          <w:color w:val="000000"/>
          <w:sz w:val="24"/>
          <w:szCs w:val="24"/>
        </w:rPr>
      </w:pPr>
      <w:r w:rsidRPr="0090280D">
        <w:rPr>
          <w:rFonts w:eastAsia="Times New Roman"/>
          <w:color w:val="000000"/>
          <w:sz w:val="24"/>
          <w:szCs w:val="24"/>
        </w:rPr>
        <w:t>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6167"/>
      </w:tblGrid>
      <w:tr w:rsidR="00B21D98" w:rsidTr="0056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Повне найменування емітента, код за ЄДРПОУ, місцезнаходження, міжміський код та телефон емітента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6311B" w:rsidRDefault="00306564" w:rsidP="0056311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Приватне </w:t>
            </w:r>
            <w:r w:rsidR="0090280D">
              <w:rPr>
                <w:rFonts w:eastAsia="Times New Roman"/>
                <w:color w:val="000000"/>
                <w:sz w:val="20"/>
                <w:szCs w:val="20"/>
              </w:rPr>
              <w:t>акціонерне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товариство Страхова </w:t>
            </w:r>
            <w:r w:rsidR="0090280D">
              <w:rPr>
                <w:rFonts w:eastAsia="Times New Roman"/>
                <w:color w:val="000000"/>
                <w:sz w:val="20"/>
                <w:szCs w:val="20"/>
              </w:rPr>
              <w:t>компанія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«IНТЕР-ПОЛIС», 19350062</w:t>
            </w:r>
            <w:r w:rsidR="0056311B"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</w:p>
          <w:p w:rsidR="00B21D98" w:rsidRDefault="0056311B" w:rsidP="00BE22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01033,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мiсто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Київ, </w:t>
            </w:r>
            <w:proofErr w:type="spellStart"/>
            <w:r w:rsidR="00306564">
              <w:rPr>
                <w:rFonts w:eastAsia="Times New Roman"/>
                <w:color w:val="000000"/>
                <w:sz w:val="20"/>
                <w:szCs w:val="20"/>
              </w:rPr>
              <w:t>Голосiївський</w:t>
            </w:r>
            <w:proofErr w:type="spellEnd"/>
            <w:r w:rsidR="00306564">
              <w:rPr>
                <w:rFonts w:eastAsia="Times New Roman"/>
                <w:color w:val="000000"/>
                <w:sz w:val="20"/>
                <w:szCs w:val="20"/>
              </w:rPr>
              <w:t>, Володимирська (044) 287 43 05</w:t>
            </w:r>
          </w:p>
        </w:tc>
      </w:tr>
      <w:tr w:rsidR="00B21D98" w:rsidTr="0056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Дата розкриття повного тексту річної інформації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56311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6311B">
              <w:rPr>
                <w:rFonts w:eastAsia="Times New Roman"/>
                <w:color w:val="000000"/>
                <w:sz w:val="20"/>
                <w:szCs w:val="20"/>
              </w:rPr>
              <w:t>24.04</w:t>
            </w:r>
            <w:r w:rsidR="00306564" w:rsidRPr="0056311B">
              <w:rPr>
                <w:rFonts w:eastAsia="Times New Roman"/>
                <w:color w:val="000000"/>
                <w:sz w:val="20"/>
                <w:szCs w:val="20"/>
              </w:rPr>
              <w:t>.2018</w:t>
            </w:r>
          </w:p>
        </w:tc>
      </w:tr>
      <w:tr w:rsidR="00B21D98" w:rsidTr="0056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 Адреса сторінки в мережі Інтернет, на якій розміщено регулярну річну інформацію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www.inter-policy.com</w:t>
            </w:r>
          </w:p>
        </w:tc>
      </w:tr>
      <w:tr w:rsidR="00B21D98" w:rsidTr="0056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 Найменування, код за ЄДРПОУ аудиторської фірми (П. І. Б. аудитора - фізичної особи - підприємця), якою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 w:rsidP="00AB3C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Товариство з обмеженою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вiдповiдальнiстю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«Аудиторська </w:t>
            </w:r>
            <w:r w:rsidR="0090280D">
              <w:rPr>
                <w:rFonts w:eastAsia="Times New Roman"/>
                <w:color w:val="000000"/>
                <w:sz w:val="20"/>
                <w:szCs w:val="20"/>
              </w:rPr>
              <w:t>фірма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«Лисенко», 35796588 </w:t>
            </w:r>
          </w:p>
        </w:tc>
      </w:tr>
      <w:tr w:rsidR="00B21D98" w:rsidTr="00563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 Інформація про загальні збори (розділ заповнюється у випадку, якщо емітент - акціонерне товариство)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Pr="004445A5" w:rsidRDefault="004445A5" w:rsidP="002F2CAE">
            <w:pPr>
              <w:jc w:val="both"/>
              <w:rPr>
                <w:sz w:val="20"/>
                <w:szCs w:val="20"/>
              </w:rPr>
            </w:pPr>
            <w:r w:rsidRPr="004445A5">
              <w:rPr>
                <w:rFonts w:eastAsia="Times New Roman"/>
                <w:color w:val="000000"/>
                <w:sz w:val="20"/>
                <w:szCs w:val="20"/>
              </w:rPr>
              <w:t>Загальні Збор</w:t>
            </w:r>
            <w:r w:rsidR="002F2CAE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4445A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45A5">
              <w:rPr>
                <w:rFonts w:eastAsia="Times New Roman"/>
                <w:color w:val="000000"/>
                <w:sz w:val="20"/>
                <w:szCs w:val="20"/>
              </w:rPr>
              <w:t>Акцiонерiв</w:t>
            </w:r>
            <w:proofErr w:type="spellEnd"/>
            <w:r w:rsidRPr="004445A5">
              <w:rPr>
                <w:rFonts w:eastAsia="Times New Roman"/>
                <w:color w:val="000000"/>
                <w:sz w:val="20"/>
                <w:szCs w:val="20"/>
              </w:rPr>
              <w:t xml:space="preserve"> 20.04.2018р.  порядок денний:</w:t>
            </w:r>
            <w:r w:rsidRPr="004445A5">
              <w:rPr>
                <w:sz w:val="20"/>
                <w:szCs w:val="20"/>
              </w:rPr>
              <w:t xml:space="preserve"> 1.</w:t>
            </w:r>
            <w:r w:rsidR="00B72C09" w:rsidRPr="004445A5">
              <w:rPr>
                <w:sz w:val="20"/>
                <w:szCs w:val="20"/>
              </w:rPr>
              <w:t>Обрання робочих органів та затвердження регламенту зборів.</w:t>
            </w:r>
            <w:r w:rsidRPr="004445A5">
              <w:rPr>
                <w:sz w:val="20"/>
                <w:szCs w:val="20"/>
              </w:rPr>
              <w:t xml:space="preserve"> 2.</w:t>
            </w:r>
            <w:r w:rsidR="00B72C09" w:rsidRPr="004445A5">
              <w:rPr>
                <w:sz w:val="20"/>
                <w:szCs w:val="20"/>
              </w:rPr>
              <w:t>Затвердження порядку та способу засвідчення бюлетенів для голосування на загальних зборах.</w:t>
            </w:r>
            <w:r w:rsidRPr="004445A5">
              <w:rPr>
                <w:sz w:val="20"/>
                <w:szCs w:val="20"/>
              </w:rPr>
              <w:t xml:space="preserve"> 3.</w:t>
            </w:r>
            <w:r w:rsidR="00B72C09" w:rsidRPr="004445A5">
              <w:rPr>
                <w:sz w:val="20"/>
                <w:szCs w:val="20"/>
              </w:rPr>
              <w:t>Розгляд звіту Наглядової ради Товариства за 2017 рік, та затвердження заходів за результатами його розгляду. Прийняття рішення за наслідками розгляду звіту Наглядової ради Товариства.</w:t>
            </w:r>
            <w:r w:rsidRPr="004445A5">
              <w:rPr>
                <w:sz w:val="20"/>
                <w:szCs w:val="20"/>
              </w:rPr>
              <w:t xml:space="preserve"> 4.</w:t>
            </w:r>
            <w:r w:rsidR="00B72C09" w:rsidRPr="004445A5">
              <w:rPr>
                <w:sz w:val="20"/>
                <w:szCs w:val="20"/>
              </w:rPr>
              <w:t>Розгляд звіту Правління Товариства за 2017 рік, та затвердження заходів за результатами його розгляду. Прийняття рішення за наслідками розгляду звіту Правління Товариства.</w:t>
            </w:r>
            <w:r w:rsidRPr="004445A5">
              <w:rPr>
                <w:sz w:val="20"/>
                <w:szCs w:val="20"/>
              </w:rPr>
              <w:t xml:space="preserve"> 5.</w:t>
            </w:r>
            <w:r w:rsidR="00B72C09" w:rsidRPr="004445A5">
              <w:rPr>
                <w:sz w:val="20"/>
                <w:szCs w:val="20"/>
              </w:rPr>
              <w:t>Затвердження звіту та висновків Ревізора Товариства за 2017 рік. Прийняття рішення за наслідками розгляду звіту Ревізора Товариства.</w:t>
            </w:r>
            <w:r w:rsidRPr="004445A5">
              <w:rPr>
                <w:sz w:val="20"/>
                <w:szCs w:val="20"/>
              </w:rPr>
              <w:t xml:space="preserve"> 6.</w:t>
            </w:r>
            <w:r w:rsidR="00B72C09" w:rsidRPr="004445A5">
              <w:rPr>
                <w:sz w:val="20"/>
                <w:szCs w:val="20"/>
              </w:rPr>
              <w:t>Розгляд висновків зовнішнього аудиту за 2017 рік, та затвердження заходів за результатами його розгляду.</w:t>
            </w:r>
            <w:r w:rsidRPr="004445A5">
              <w:rPr>
                <w:sz w:val="20"/>
                <w:szCs w:val="20"/>
              </w:rPr>
              <w:t xml:space="preserve"> 7.</w:t>
            </w:r>
            <w:r w:rsidR="00B72C09" w:rsidRPr="004445A5">
              <w:rPr>
                <w:sz w:val="20"/>
                <w:szCs w:val="20"/>
              </w:rPr>
              <w:t xml:space="preserve">Затвердження річного звіту Товариства за 2017 рік. </w:t>
            </w:r>
            <w:r w:rsidRPr="004445A5">
              <w:rPr>
                <w:sz w:val="20"/>
                <w:szCs w:val="20"/>
              </w:rPr>
              <w:t xml:space="preserve"> 8.</w:t>
            </w:r>
            <w:r w:rsidR="00B72C09" w:rsidRPr="004445A5">
              <w:rPr>
                <w:sz w:val="20"/>
                <w:szCs w:val="20"/>
              </w:rPr>
              <w:t>Розподіл прибутку і збитків Товариства за 2017 рік.</w:t>
            </w:r>
            <w:r w:rsidRPr="004445A5">
              <w:rPr>
                <w:sz w:val="20"/>
                <w:szCs w:val="20"/>
              </w:rPr>
              <w:t xml:space="preserve"> 9.</w:t>
            </w:r>
            <w:r w:rsidR="00B72C09" w:rsidRPr="004445A5">
              <w:rPr>
                <w:sz w:val="20"/>
                <w:szCs w:val="20"/>
              </w:rPr>
              <w:t xml:space="preserve">Затвердження  розміру річних дивідендів. </w:t>
            </w:r>
            <w:r w:rsidRPr="004445A5">
              <w:rPr>
                <w:sz w:val="20"/>
                <w:szCs w:val="20"/>
              </w:rPr>
              <w:t>10.</w:t>
            </w:r>
            <w:r w:rsidR="00B72C09" w:rsidRPr="004445A5">
              <w:rPr>
                <w:sz w:val="20"/>
                <w:szCs w:val="20"/>
              </w:rPr>
              <w:t>Прийняття рішення про припинення повноважень Ревізора Товариства.</w:t>
            </w:r>
            <w:r w:rsidRPr="004445A5">
              <w:rPr>
                <w:sz w:val="20"/>
                <w:szCs w:val="20"/>
              </w:rPr>
              <w:t xml:space="preserve"> 11.</w:t>
            </w:r>
            <w:r w:rsidR="00B72C09" w:rsidRPr="004445A5">
              <w:rPr>
                <w:sz w:val="20"/>
                <w:szCs w:val="20"/>
              </w:rPr>
              <w:t>Обрання Ревізора Товариства.</w:t>
            </w:r>
            <w:r w:rsidRPr="004445A5">
              <w:rPr>
                <w:sz w:val="20"/>
                <w:szCs w:val="20"/>
              </w:rPr>
              <w:t xml:space="preserve"> 12.</w:t>
            </w:r>
            <w:r w:rsidR="00B72C09" w:rsidRPr="004445A5">
              <w:rPr>
                <w:sz w:val="20"/>
                <w:szCs w:val="20"/>
              </w:rPr>
              <w:t>Внесення змін до Статуту Товариства.</w:t>
            </w:r>
            <w:r w:rsidRPr="004445A5">
              <w:rPr>
                <w:sz w:val="20"/>
                <w:szCs w:val="20"/>
              </w:rPr>
              <w:t xml:space="preserve"> 13.</w:t>
            </w:r>
            <w:r w:rsidR="00B72C09" w:rsidRPr="004445A5">
              <w:rPr>
                <w:sz w:val="20"/>
                <w:szCs w:val="20"/>
              </w:rPr>
              <w:t>Внесення змін до положення Товариства «Про Наглядову раду».</w:t>
            </w:r>
            <w:r w:rsidRPr="004445A5">
              <w:rPr>
                <w:sz w:val="20"/>
                <w:szCs w:val="20"/>
              </w:rPr>
              <w:t xml:space="preserve"> 14.</w:t>
            </w:r>
            <w:r w:rsidR="00B72C09" w:rsidRPr="004445A5">
              <w:rPr>
                <w:sz w:val="20"/>
                <w:szCs w:val="20"/>
              </w:rPr>
              <w:t>Затвердження принципів (кодексу) корпоративного управління Товариства.</w:t>
            </w:r>
            <w:r w:rsidRPr="004445A5">
              <w:rPr>
                <w:sz w:val="20"/>
                <w:szCs w:val="20"/>
              </w:rPr>
              <w:t xml:space="preserve"> </w:t>
            </w:r>
          </w:p>
        </w:tc>
      </w:tr>
      <w:tr w:rsidR="00B21D98" w:rsidTr="005631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 Інформація про дивіденди.</w:t>
            </w:r>
          </w:p>
        </w:tc>
      </w:tr>
      <w:tr w:rsidR="00B21D98" w:rsidTr="0056311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3"/>
              <w:gridCol w:w="1750"/>
              <w:gridCol w:w="2473"/>
              <w:gridCol w:w="1750"/>
              <w:gridCol w:w="2473"/>
            </w:tblGrid>
            <w:tr w:rsidR="00B21D98" w:rsidTr="00535ECB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B21D9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За результатами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звітнього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періоду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За результатами періоду, що передував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звітньому</w:t>
                  </w:r>
                  <w:proofErr w:type="spellEnd"/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21D98" w:rsidRDefault="00B21D98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за простими акціями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за привілейованими акціями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за простими акціями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за привілейованими акціями</w:t>
                  </w:r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Сума нарахованих дивідендів, грн.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33661.39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645596.50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Нарахувані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дивіденди на одну акцію, грн.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0.6252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26.37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Сума виплачених дивідендів, грн.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33661.39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645596.50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Дата складання переліку осіб, які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мають право на отримання дивідендів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11.06.2018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23.06.2017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lastRenderedPageBreak/>
                    <w:t>Дата виплати дивідендів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 01.07.2018р.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 w:rsidP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до 01.07.2017р.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AB3C29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B21D98" w:rsidTr="00535EC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21D98" w:rsidRDefault="0030656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Опис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B72C09" w:rsidRDefault="00535ECB" w:rsidP="00B72C09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6564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35ECB">
                    <w:rPr>
                      <w:sz w:val="20"/>
                      <w:szCs w:val="20"/>
                    </w:rPr>
                    <w:t xml:space="preserve">За результатами звітного періоду рішення щодо виплати дивідендів прийнято </w:t>
                  </w:r>
                  <w:r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на Загальних Зборах </w:t>
                  </w:r>
                  <w:proofErr w:type="spellStart"/>
                  <w:r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Акцiонерiв</w:t>
                  </w:r>
                  <w:proofErr w:type="spellEnd"/>
                  <w:r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20.04.2018р.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Виплатити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дивiденди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за 2017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рiк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розмiрi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33 661 (тридцять три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тисячi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шiстсот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шiстдесят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одна) грн. 39 коп., встановити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розмiр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дивiдендiв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0,6252 (нуль) грн. на кожну належну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акцiонеру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акцiю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. Виплату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дивiдендiв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провести у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безготiвковiй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формi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в строки,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встановленi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законодавством, зокрема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здiйснити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виплату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дивiдендiв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до 01.07.2018 року. Виплату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здiйснювати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пiдставi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перелiку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осiб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якi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мають право на отримання </w:t>
                  </w:r>
                  <w:proofErr w:type="spellStart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дивiдендiв</w:t>
                  </w:r>
                  <w:proofErr w:type="spellEnd"/>
                  <w:r w:rsidR="00306564" w:rsidRPr="00535EC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, складеним на дату, визначену Наглядовою радою Товариства, в порядку, встановленому законодавством про депозитарну систему України.</w:t>
                  </w:r>
                </w:p>
              </w:tc>
            </w:tr>
          </w:tbl>
          <w:p w:rsidR="00B21D98" w:rsidRDefault="00B21D9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21D98" w:rsidRPr="002F2CAE" w:rsidRDefault="00306564">
      <w:pPr>
        <w:pStyle w:val="3"/>
        <w:rPr>
          <w:rFonts w:eastAsia="Times New Roman"/>
          <w:color w:val="000000"/>
          <w:sz w:val="20"/>
          <w:szCs w:val="20"/>
        </w:rPr>
      </w:pPr>
      <w:r w:rsidRPr="002F2CAE">
        <w:rPr>
          <w:rFonts w:eastAsia="Times New Roman"/>
          <w:color w:val="000000"/>
          <w:sz w:val="20"/>
          <w:szCs w:val="20"/>
        </w:rPr>
        <w:lastRenderedPageBreak/>
        <w:t>II. Основні показники фінансово-господарської діяльності підприємства</w:t>
      </w:r>
    </w:p>
    <w:p w:rsidR="00B21D98" w:rsidRPr="002F2CAE" w:rsidRDefault="00306564">
      <w:pPr>
        <w:pStyle w:val="a3"/>
        <w:rPr>
          <w:color w:val="000000"/>
          <w:sz w:val="20"/>
          <w:szCs w:val="20"/>
        </w:rPr>
      </w:pPr>
      <w:r w:rsidRPr="002F2CAE">
        <w:rPr>
          <w:color w:val="000000"/>
          <w:sz w:val="20"/>
          <w:szCs w:val="20"/>
        </w:rPr>
        <w:t xml:space="preserve">1. Основні показники фінансово-господарської діяльності підприємства (тис. </w:t>
      </w:r>
      <w:proofErr w:type="spellStart"/>
      <w:r w:rsidRPr="002F2CAE">
        <w:rPr>
          <w:color w:val="000000"/>
          <w:sz w:val="20"/>
          <w:szCs w:val="20"/>
        </w:rPr>
        <w:t>грн</w:t>
      </w:r>
      <w:proofErr w:type="spellEnd"/>
      <w:r w:rsidRPr="002F2CAE">
        <w:rPr>
          <w:color w:val="000000"/>
          <w:sz w:val="20"/>
          <w:szCs w:val="2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2925"/>
        <w:gridCol w:w="888"/>
        <w:gridCol w:w="1207"/>
      </w:tblGrid>
      <w:tr w:rsidR="00B21D98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Період</w:t>
            </w:r>
          </w:p>
        </w:tc>
      </w:tr>
      <w:tr w:rsidR="00B21D98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D98" w:rsidRDefault="00B21D9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звітний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попередній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91681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92636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 (за залишковою вартістю)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19672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17596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Сумарна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13640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Грошові кошти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31838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Власний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72152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Статутний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7350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6024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зобов'язання і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8874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зобов'язання і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11610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на одну просту акцію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1.83673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52.73469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Скоригований чистий прибуток (збиток) на одну просту акцію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1.83673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52.73469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Середньорічна кількість простих акцій 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24500</w:t>
            </w:r>
          </w:p>
        </w:tc>
      </w:tr>
      <w:tr w:rsidR="00B21D9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Цінні папери власних випусків, викуплені протягом звітного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загальна номінальна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AB3C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AB3C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21D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D98" w:rsidRDefault="00B21D9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відсотках від статутного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AB3C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AB3C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21D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Загальна сума коштів, витрачених на викуп цінних паперів власних випусків протягом періоду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21D98" w:rsidRDefault="0030656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06564" w:rsidRDefault="00306564">
      <w:pPr>
        <w:rPr>
          <w:rFonts w:eastAsia="Times New Roman"/>
        </w:rPr>
      </w:pPr>
    </w:p>
    <w:p w:rsidR="0090280D" w:rsidRDefault="0090280D">
      <w:pPr>
        <w:rPr>
          <w:rFonts w:eastAsia="Times New Roman"/>
        </w:rPr>
      </w:pPr>
    </w:p>
    <w:p w:rsidR="0090280D" w:rsidRPr="00662FF6" w:rsidRDefault="0090280D" w:rsidP="0090280D">
      <w:pPr>
        <w:jc w:val="center"/>
        <w:rPr>
          <w:b/>
        </w:rPr>
      </w:pPr>
      <w:r w:rsidRPr="00662FF6">
        <w:rPr>
          <w:b/>
        </w:rPr>
        <w:t>III. Підпис</w:t>
      </w:r>
    </w:p>
    <w:p w:rsidR="0090280D" w:rsidRPr="00662FF6" w:rsidRDefault="0090280D" w:rsidP="0090280D">
      <w:pPr>
        <w:pStyle w:val="a4"/>
        <w:numPr>
          <w:ilvl w:val="0"/>
          <w:numId w:val="2"/>
        </w:numPr>
        <w:ind w:left="0" w:firstLine="567"/>
        <w:jc w:val="both"/>
        <w:rPr>
          <w:lang w:val="uk-UA"/>
        </w:rPr>
      </w:pPr>
      <w:r w:rsidRPr="00662FF6">
        <w:rPr>
          <w:lang w:val="uk-UA"/>
        </w:rPr>
        <w:lastRenderedPageBreak/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90280D" w:rsidRDefault="0090280D" w:rsidP="0090280D">
      <w:pPr>
        <w:jc w:val="both"/>
      </w:pPr>
    </w:p>
    <w:p w:rsidR="0090280D" w:rsidRDefault="0090280D" w:rsidP="0090280D">
      <w:pPr>
        <w:jc w:val="both"/>
      </w:pPr>
    </w:p>
    <w:p w:rsidR="0090280D" w:rsidRDefault="0090280D" w:rsidP="0090280D">
      <w:pPr>
        <w:jc w:val="both"/>
        <w:rPr>
          <w:b/>
        </w:rPr>
      </w:pPr>
      <w:r w:rsidRPr="00837656">
        <w:rPr>
          <w:b/>
        </w:rPr>
        <w:t>Голова Правлін</w:t>
      </w:r>
      <w:bookmarkStart w:id="0" w:name="_GoBack"/>
      <w:bookmarkEnd w:id="0"/>
      <w:r w:rsidRPr="00837656">
        <w:rPr>
          <w:b/>
        </w:rPr>
        <w:t>ня</w:t>
      </w:r>
      <w:r>
        <w:rPr>
          <w:b/>
        </w:rPr>
        <w:t xml:space="preserve"> </w:t>
      </w:r>
    </w:p>
    <w:p w:rsidR="0090280D" w:rsidRDefault="0090280D" w:rsidP="0090280D">
      <w:pPr>
        <w:jc w:val="both"/>
      </w:pPr>
      <w:r w:rsidRPr="00837656">
        <w:rPr>
          <w:b/>
        </w:rPr>
        <w:t>(Генеральний директор)</w:t>
      </w:r>
      <w:r w:rsidRPr="00662FF6">
        <w:rPr>
          <w:b/>
        </w:rPr>
        <w:t xml:space="preserve"> </w:t>
      </w:r>
      <w:r>
        <w:rPr>
          <w:b/>
        </w:rPr>
        <w:t xml:space="preserve">                              </w:t>
      </w:r>
      <w:proofErr w:type="spellStart"/>
      <w:r w:rsidRPr="00837656">
        <w:rPr>
          <w:b/>
        </w:rPr>
        <w:t>Бурлаєнко</w:t>
      </w:r>
      <w:proofErr w:type="spellEnd"/>
      <w:r w:rsidRPr="00837656">
        <w:rPr>
          <w:b/>
        </w:rPr>
        <w:t xml:space="preserve"> С.В.</w:t>
      </w:r>
    </w:p>
    <w:p w:rsidR="0090280D" w:rsidRDefault="0090280D">
      <w:pPr>
        <w:rPr>
          <w:rFonts w:eastAsia="Times New Roman"/>
        </w:rPr>
      </w:pPr>
    </w:p>
    <w:sectPr w:rsidR="0090280D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380"/>
    <w:multiLevelType w:val="hybridMultilevel"/>
    <w:tmpl w:val="27CE5D74"/>
    <w:lvl w:ilvl="0" w:tplc="AAEA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C55503"/>
    <w:multiLevelType w:val="hybridMultilevel"/>
    <w:tmpl w:val="A4FAB3BE"/>
    <w:lvl w:ilvl="0" w:tplc="054471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3C29"/>
    <w:rsid w:val="002F2CAE"/>
    <w:rsid w:val="00306564"/>
    <w:rsid w:val="004445A5"/>
    <w:rsid w:val="00535ECB"/>
    <w:rsid w:val="0056311B"/>
    <w:rsid w:val="00642145"/>
    <w:rsid w:val="0090280D"/>
    <w:rsid w:val="00AB3C29"/>
    <w:rsid w:val="00B21D98"/>
    <w:rsid w:val="00B72C09"/>
    <w:rsid w:val="00B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72C09"/>
    <w:pPr>
      <w:ind w:left="720"/>
      <w:contextualSpacing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72C09"/>
    <w:pPr>
      <w:ind w:left="720"/>
      <w:contextualSpacing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Донченко</dc:creator>
  <cp:lastModifiedBy>Донченко</cp:lastModifiedBy>
  <cp:revision>7</cp:revision>
  <dcterms:created xsi:type="dcterms:W3CDTF">2018-04-02T13:11:00Z</dcterms:created>
  <dcterms:modified xsi:type="dcterms:W3CDTF">2018-04-24T14:45:00Z</dcterms:modified>
</cp:coreProperties>
</file>